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spacing w:val="10"/>
          <w:sz w:val="36"/>
          <w:szCs w:val="36"/>
        </w:rPr>
        <w:t>LTJ5440TYL</w:t>
      </w:r>
      <w:r>
        <w:rPr>
          <w:rFonts w:eastAsia="金长城黑体"/>
          <w:spacing w:val="10"/>
          <w:sz w:val="36"/>
          <w:szCs w:val="36"/>
        </w:rPr>
        <w:t>330</w:t>
      </w:r>
      <w:r>
        <w:rPr>
          <w:rFonts w:ascii="金长城黑体" w:hAnsi="金长城黑体"/>
          <w:spacing w:val="10"/>
          <w:sz w:val="36"/>
          <w:szCs w:val="36"/>
        </w:rPr>
        <w:t>型压裂车</w:t>
      </w:r>
    </w:p>
    <w:p>
      <w:pPr>
        <w:spacing w:line="360" w:lineRule="auto"/>
        <w:ind w:left="420" w:leftChars="200"/>
        <w:rPr>
          <w:sz w:val="24"/>
        </w:rPr>
      </w:pPr>
      <w:r>
        <w:rPr>
          <w:sz w:val="24"/>
        </w:rPr>
        <w:t>1</w:t>
      </w:r>
      <w:r>
        <w:rPr>
          <w:rFonts w:hint="eastAsia"/>
          <w:sz w:val="24"/>
        </w:rPr>
        <w:t>、载重汽车</w:t>
      </w:r>
    </w:p>
    <w:p>
      <w:pPr>
        <w:spacing w:line="360" w:lineRule="auto"/>
        <w:ind w:left="420" w:leftChars="200" w:firstLine="360" w:firstLineChars="150"/>
        <w:rPr>
          <w:sz w:val="24"/>
        </w:rPr>
      </w:pPr>
      <w:r>
        <w:rPr>
          <w:rFonts w:hint="eastAsia"/>
          <w:sz w:val="24"/>
        </w:rPr>
        <w:t>型号：重汽（曼）</w:t>
      </w:r>
      <w:r>
        <w:rPr>
          <w:sz w:val="24"/>
        </w:rPr>
        <w:t>ZZ5446V456MD2</w:t>
      </w:r>
      <w:r>
        <w:rPr>
          <w:rFonts w:hint="eastAsia"/>
          <w:sz w:val="24"/>
        </w:rPr>
        <w:t>（国五）</w:t>
      </w:r>
    </w:p>
    <w:p>
      <w:pPr>
        <w:spacing w:line="360" w:lineRule="auto"/>
        <w:ind w:left="420" w:leftChars="200" w:firstLine="360" w:firstLineChars="150"/>
        <w:rPr>
          <w:sz w:val="24"/>
        </w:rPr>
      </w:pPr>
      <w:r>
        <w:rPr>
          <w:rFonts w:hint="eastAsia"/>
          <w:sz w:val="24"/>
        </w:rPr>
        <w:t>驱动形式：</w:t>
      </w:r>
      <w:r>
        <w:rPr>
          <w:sz w:val="24"/>
        </w:rPr>
        <w:t>8×4</w:t>
      </w:r>
    </w:p>
    <w:p>
      <w:pPr>
        <w:spacing w:line="360" w:lineRule="auto"/>
        <w:ind w:left="420" w:leftChars="200" w:firstLine="360" w:firstLineChars="150"/>
        <w:rPr>
          <w:sz w:val="24"/>
        </w:rPr>
      </w:pPr>
      <w:r>
        <w:rPr>
          <w:rFonts w:hint="eastAsia"/>
          <w:sz w:val="24"/>
        </w:rPr>
        <w:t>轴距：</w:t>
      </w:r>
      <w:r>
        <w:rPr>
          <w:sz w:val="24"/>
        </w:rPr>
        <w:t>1950+4825+1350</w:t>
      </w:r>
    </w:p>
    <w:p>
      <w:pPr>
        <w:spacing w:line="360" w:lineRule="auto"/>
        <w:ind w:left="420" w:leftChars="200" w:firstLine="360" w:firstLineChars="150"/>
        <w:rPr>
          <w:sz w:val="24"/>
        </w:rPr>
      </w:pPr>
      <w:r>
        <w:rPr>
          <w:rFonts w:hint="eastAsia"/>
          <w:sz w:val="24"/>
        </w:rPr>
        <w:t>发动机型号：</w:t>
      </w:r>
      <w:r>
        <w:rPr>
          <w:sz w:val="24"/>
        </w:rPr>
        <w:t>MC11.40-50</w:t>
      </w:r>
    </w:p>
    <w:p>
      <w:pPr>
        <w:spacing w:line="360" w:lineRule="auto"/>
        <w:ind w:left="420" w:leftChars="200" w:firstLine="360" w:firstLineChars="150"/>
        <w:rPr>
          <w:sz w:val="24"/>
        </w:rPr>
      </w:pPr>
      <w:r>
        <w:rPr>
          <w:rFonts w:hint="eastAsia"/>
          <w:sz w:val="24"/>
        </w:rPr>
        <w:t>发动机功率：</w:t>
      </w:r>
      <w:r>
        <w:rPr>
          <w:sz w:val="24"/>
        </w:rPr>
        <w:t>324kw</w:t>
      </w:r>
    </w:p>
    <w:p>
      <w:pPr>
        <w:spacing w:line="360" w:lineRule="auto"/>
        <w:ind w:left="420" w:leftChars="200" w:firstLine="360" w:firstLineChars="150"/>
        <w:rPr>
          <w:sz w:val="24"/>
        </w:rPr>
      </w:pPr>
      <w:r>
        <w:rPr>
          <w:rFonts w:hint="eastAsia"/>
          <w:sz w:val="24"/>
        </w:rPr>
        <w:t>发动机转速：</w:t>
      </w:r>
      <w:r>
        <w:rPr>
          <w:sz w:val="24"/>
        </w:rPr>
        <w:t>1900rPm</w:t>
      </w:r>
    </w:p>
    <w:p>
      <w:pPr>
        <w:spacing w:line="360" w:lineRule="auto"/>
        <w:ind w:left="420" w:leftChars="200" w:firstLine="360" w:firstLineChars="150"/>
        <w:rPr>
          <w:sz w:val="24"/>
        </w:rPr>
      </w:pPr>
      <w:r>
        <w:rPr>
          <w:rFonts w:hint="eastAsia"/>
          <w:sz w:val="24"/>
        </w:rPr>
        <w:t>变速箱型号：</w:t>
      </w:r>
      <w:r>
        <w:rPr>
          <w:sz w:val="24"/>
        </w:rPr>
        <w:t>ZF16S1950</w:t>
      </w:r>
    </w:p>
    <w:p>
      <w:pPr>
        <w:spacing w:line="360" w:lineRule="auto"/>
        <w:ind w:left="420" w:leftChars="200" w:firstLine="360" w:firstLineChars="150"/>
        <w:rPr>
          <w:sz w:val="24"/>
        </w:rPr>
      </w:pPr>
      <w:r>
        <w:rPr>
          <w:rFonts w:hint="eastAsia"/>
          <w:sz w:val="24"/>
        </w:rPr>
        <w:t>载重：</w:t>
      </w:r>
      <w:r>
        <w:rPr>
          <w:sz w:val="24"/>
        </w:rPr>
        <w:t>44000 kg</w:t>
      </w:r>
    </w:p>
    <w:p>
      <w:pPr>
        <w:spacing w:line="360" w:lineRule="auto"/>
        <w:ind w:left="420" w:leftChars="200" w:firstLine="360" w:firstLineChars="150"/>
        <w:rPr>
          <w:sz w:val="24"/>
          <w:u w:val="single"/>
        </w:rPr>
      </w:pPr>
      <w:r>
        <w:rPr>
          <w:rFonts w:hint="eastAsia"/>
          <w:sz w:val="24"/>
        </w:rPr>
        <w:t>汽车颜色：</w:t>
      </w:r>
      <w:r>
        <w:rPr>
          <w:rFonts w:hint="eastAsia"/>
          <w:sz w:val="24"/>
          <w:u w:val="single"/>
        </w:rPr>
        <w:t xml:space="preserve">         </w:t>
      </w:r>
    </w:p>
    <w:p>
      <w:pPr>
        <w:spacing w:line="360" w:lineRule="auto"/>
        <w:ind w:left="420" w:leftChars="200" w:firstLine="360" w:firstLineChars="150"/>
        <w:rPr>
          <w:sz w:val="24"/>
        </w:rPr>
      </w:pPr>
      <w:r>
        <w:rPr>
          <w:rFonts w:hint="eastAsia"/>
          <w:sz w:val="24"/>
        </w:rPr>
        <w:t>轮胎：钢丝胎</w:t>
      </w:r>
    </w:p>
    <w:p>
      <w:pPr>
        <w:spacing w:line="360" w:lineRule="auto"/>
        <w:ind w:left="420" w:leftChars="200" w:firstLine="360" w:firstLineChars="150"/>
        <w:rPr>
          <w:sz w:val="24"/>
        </w:rPr>
      </w:pPr>
      <w:r>
        <w:rPr>
          <w:rFonts w:hint="eastAsia"/>
          <w:sz w:val="24"/>
        </w:rPr>
        <w:t>简易卧铺，内置空调</w:t>
      </w:r>
    </w:p>
    <w:p>
      <w:pPr>
        <w:spacing w:line="360" w:lineRule="auto"/>
        <w:ind w:left="420" w:leftChars="200"/>
        <w:rPr>
          <w:sz w:val="24"/>
        </w:rPr>
      </w:pPr>
      <w:r>
        <w:rPr>
          <w:sz w:val="24"/>
        </w:rPr>
        <w:t>2</w:t>
      </w:r>
      <w:r>
        <w:rPr>
          <w:rFonts w:hint="eastAsia"/>
          <w:sz w:val="24"/>
        </w:rPr>
        <w:t>、台上柴油机</w:t>
      </w:r>
    </w:p>
    <w:p>
      <w:pPr>
        <w:spacing w:line="360" w:lineRule="auto"/>
        <w:ind w:left="420" w:leftChars="200" w:firstLine="360" w:firstLineChars="150"/>
        <w:rPr>
          <w:sz w:val="24"/>
        </w:rPr>
      </w:pPr>
      <w:r>
        <w:rPr>
          <w:rFonts w:hint="eastAsia"/>
          <w:sz w:val="24"/>
        </w:rPr>
        <w:t>型号：底特律</w:t>
      </w:r>
      <w:r>
        <w:rPr>
          <w:sz w:val="24"/>
        </w:rPr>
        <w:t>16V4000S83</w:t>
      </w:r>
      <w:r>
        <w:rPr>
          <w:rFonts w:hint="eastAsia"/>
          <w:sz w:val="24"/>
        </w:rPr>
        <w:t>（Ⅲ阶段）</w:t>
      </w:r>
    </w:p>
    <w:p>
      <w:pPr>
        <w:spacing w:line="360" w:lineRule="auto"/>
        <w:ind w:left="420" w:leftChars="200" w:firstLine="360" w:firstLineChars="150"/>
        <w:rPr>
          <w:sz w:val="24"/>
        </w:rPr>
      </w:pPr>
      <w:r>
        <w:rPr>
          <w:rFonts w:hint="eastAsia"/>
          <w:sz w:val="24"/>
        </w:rPr>
        <w:t>功率：</w:t>
      </w:r>
      <w:r>
        <w:rPr>
          <w:sz w:val="24"/>
        </w:rPr>
        <w:t>3</w:t>
      </w:r>
      <w:r>
        <w:rPr>
          <w:rFonts w:hint="eastAsia"/>
          <w:sz w:val="24"/>
        </w:rPr>
        <w:t>0</w:t>
      </w:r>
      <w:r>
        <w:rPr>
          <w:sz w:val="24"/>
        </w:rPr>
        <w:t>00HP</w:t>
      </w:r>
    </w:p>
    <w:p>
      <w:pPr>
        <w:spacing w:line="360" w:lineRule="auto"/>
        <w:ind w:left="420" w:leftChars="200" w:firstLine="360" w:firstLineChars="150"/>
        <w:rPr>
          <w:sz w:val="24"/>
        </w:rPr>
      </w:pPr>
      <w:r>
        <w:rPr>
          <w:rFonts w:hint="eastAsia"/>
          <w:sz w:val="24"/>
        </w:rPr>
        <w:t>转速：</w:t>
      </w:r>
      <w:r>
        <w:rPr>
          <w:sz w:val="24"/>
        </w:rPr>
        <w:t>1900 r/min</w:t>
      </w:r>
    </w:p>
    <w:p>
      <w:pPr>
        <w:spacing w:line="360" w:lineRule="auto"/>
        <w:ind w:left="420" w:leftChars="200" w:firstLine="360" w:firstLineChars="150"/>
        <w:rPr>
          <w:sz w:val="24"/>
        </w:rPr>
      </w:pPr>
      <w:r>
        <w:rPr>
          <w:rFonts w:hint="eastAsia"/>
          <w:sz w:val="24"/>
        </w:rPr>
        <w:t>水箱为卧式，冷却液加热锅炉。</w:t>
      </w:r>
    </w:p>
    <w:p>
      <w:pPr>
        <w:spacing w:line="360" w:lineRule="auto"/>
        <w:ind w:left="420" w:leftChars="200" w:firstLine="360" w:firstLineChars="150"/>
        <w:rPr>
          <w:sz w:val="24"/>
        </w:rPr>
      </w:pPr>
      <w:r>
        <w:rPr>
          <w:rFonts w:hint="eastAsia"/>
          <w:sz w:val="24"/>
        </w:rPr>
        <w:t>启动形式：液启动</w:t>
      </w:r>
    </w:p>
    <w:p>
      <w:pPr>
        <w:numPr>
          <w:ilvl w:val="0"/>
          <w:numId w:val="1"/>
        </w:numPr>
        <w:spacing w:line="360" w:lineRule="auto"/>
        <w:ind w:left="420" w:leftChars="200"/>
        <w:rPr>
          <w:sz w:val="24"/>
        </w:rPr>
      </w:pPr>
      <w:r>
        <w:rPr>
          <w:rFonts w:hint="eastAsia"/>
          <w:sz w:val="24"/>
        </w:rPr>
        <w:t>变速箱</w:t>
      </w:r>
    </w:p>
    <w:p>
      <w:pPr>
        <w:spacing w:line="360" w:lineRule="auto"/>
        <w:ind w:left="420" w:leftChars="200" w:firstLine="240" w:firstLineChars="100"/>
        <w:rPr>
          <w:sz w:val="24"/>
        </w:rPr>
      </w:pPr>
      <w:r>
        <w:rPr>
          <w:rFonts w:hint="eastAsia"/>
          <w:sz w:val="24"/>
        </w:rPr>
        <w:t>型号：艾里逊</w:t>
      </w:r>
      <w:r>
        <w:rPr>
          <w:sz w:val="24"/>
        </w:rPr>
        <w:t>9832</w:t>
      </w:r>
      <w:r>
        <w:rPr>
          <w:rFonts w:hint="eastAsia"/>
          <w:sz w:val="24"/>
        </w:rPr>
        <w:t xml:space="preserve"> </w:t>
      </w:r>
      <w:r>
        <w:rPr>
          <w:sz w:val="24"/>
        </w:rPr>
        <w:t>OFS</w:t>
      </w:r>
      <w:r>
        <w:rPr>
          <w:rFonts w:hint="eastAsia"/>
          <w:sz w:val="24"/>
        </w:rPr>
        <w:t>变速箱</w:t>
      </w:r>
    </w:p>
    <w:p>
      <w:pPr>
        <w:spacing w:line="360" w:lineRule="auto"/>
        <w:ind w:left="420" w:leftChars="200" w:firstLine="240" w:firstLineChars="100"/>
        <w:rPr>
          <w:sz w:val="24"/>
        </w:rPr>
      </w:pPr>
      <w:r>
        <w:rPr>
          <w:rFonts w:hint="eastAsia"/>
          <w:sz w:val="24"/>
        </w:rPr>
        <w:t>输入总功率：</w:t>
      </w:r>
      <w:r>
        <w:rPr>
          <w:sz w:val="24"/>
        </w:rPr>
        <w:t>3200HP</w:t>
      </w:r>
    </w:p>
    <w:p>
      <w:pPr>
        <w:spacing w:line="360" w:lineRule="auto"/>
        <w:ind w:left="420" w:leftChars="200" w:firstLine="240" w:firstLineChars="100"/>
        <w:rPr>
          <w:sz w:val="24"/>
        </w:rPr>
      </w:pPr>
      <w:r>
        <w:rPr>
          <w:rFonts w:hint="eastAsia"/>
          <w:sz w:val="24"/>
        </w:rPr>
        <w:t>输入总扭矩：</w:t>
      </w:r>
      <w:r>
        <w:rPr>
          <w:sz w:val="24"/>
        </w:rPr>
        <w:t>12200N.m</w:t>
      </w:r>
    </w:p>
    <w:p>
      <w:pPr>
        <w:spacing w:line="360" w:lineRule="auto"/>
        <w:ind w:left="420" w:leftChars="200" w:firstLine="240" w:firstLineChars="100"/>
        <w:rPr>
          <w:sz w:val="24"/>
        </w:rPr>
      </w:pPr>
      <w:r>
        <w:rPr>
          <w:rFonts w:hint="eastAsia"/>
          <w:sz w:val="24"/>
        </w:rPr>
        <w:t>发动机调速范围：</w:t>
      </w:r>
      <w:r>
        <w:rPr>
          <w:sz w:val="24"/>
        </w:rPr>
        <w:t>1800</w:t>
      </w:r>
      <w:r>
        <w:rPr>
          <w:rFonts w:hint="eastAsia"/>
          <w:sz w:val="24"/>
        </w:rPr>
        <w:t>～</w:t>
      </w:r>
      <w:r>
        <w:rPr>
          <w:sz w:val="24"/>
        </w:rPr>
        <w:t>2100r/min</w:t>
      </w:r>
    </w:p>
    <w:p>
      <w:pPr>
        <w:spacing w:line="360" w:lineRule="auto"/>
        <w:ind w:left="420" w:leftChars="200" w:firstLine="240" w:firstLineChars="100"/>
        <w:rPr>
          <w:sz w:val="24"/>
        </w:rPr>
      </w:pPr>
      <w:r>
        <w:rPr>
          <w:rFonts w:hint="eastAsia"/>
          <w:sz w:val="24"/>
        </w:rPr>
        <w:t>发动机怠速：</w:t>
      </w:r>
      <w:r>
        <w:rPr>
          <w:sz w:val="24"/>
        </w:rPr>
        <w:t>550r/min</w:t>
      </w:r>
    </w:p>
    <w:p>
      <w:pPr>
        <w:spacing w:line="360" w:lineRule="auto"/>
        <w:ind w:left="420" w:leftChars="200" w:firstLine="240" w:firstLineChars="100"/>
        <w:rPr>
          <w:sz w:val="24"/>
        </w:rPr>
      </w:pPr>
      <w:r>
        <w:rPr>
          <w:rFonts w:hint="eastAsia"/>
          <w:sz w:val="24"/>
        </w:rPr>
        <w:t>变速比：</w:t>
      </w:r>
    </w:p>
    <w:tbl>
      <w:tblPr>
        <w:tblStyle w:val="3"/>
        <w:tblW w:w="7088"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88"/>
        <w:gridCol w:w="787"/>
        <w:gridCol w:w="788"/>
        <w:gridCol w:w="787"/>
        <w:gridCol w:w="788"/>
        <w:gridCol w:w="787"/>
        <w:gridCol w:w="78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spacing w:line="276" w:lineRule="auto"/>
              <w:jc w:val="center"/>
              <w:rPr>
                <w:sz w:val="24"/>
              </w:rPr>
            </w:pPr>
            <w:r>
              <w:rPr>
                <w:rFonts w:hint="eastAsia"/>
                <w:sz w:val="24"/>
              </w:rPr>
              <w:t>挡位</w:t>
            </w:r>
          </w:p>
        </w:tc>
        <w:tc>
          <w:tcPr>
            <w:tcW w:w="788" w:type="dxa"/>
            <w:vAlign w:val="center"/>
          </w:tcPr>
          <w:p>
            <w:pPr>
              <w:widowControl/>
              <w:spacing w:line="276" w:lineRule="auto"/>
              <w:jc w:val="center"/>
              <w:rPr>
                <w:kern w:val="0"/>
                <w:sz w:val="24"/>
              </w:rPr>
            </w:pPr>
            <w:r>
              <w:rPr>
                <w:rFonts w:hint="eastAsia" w:hAnsi="宋体"/>
                <w:kern w:val="0"/>
                <w:sz w:val="24"/>
              </w:rPr>
              <w:t>Ⅰ</w:t>
            </w:r>
          </w:p>
        </w:tc>
        <w:tc>
          <w:tcPr>
            <w:tcW w:w="787" w:type="dxa"/>
            <w:vAlign w:val="center"/>
          </w:tcPr>
          <w:p>
            <w:pPr>
              <w:widowControl/>
              <w:spacing w:line="276" w:lineRule="auto"/>
              <w:jc w:val="center"/>
              <w:rPr>
                <w:kern w:val="0"/>
                <w:sz w:val="24"/>
              </w:rPr>
            </w:pPr>
            <w:r>
              <w:rPr>
                <w:rFonts w:hint="eastAsia" w:hAnsi="宋体"/>
                <w:kern w:val="0"/>
                <w:sz w:val="24"/>
              </w:rPr>
              <w:t>Ⅱ</w:t>
            </w:r>
          </w:p>
        </w:tc>
        <w:tc>
          <w:tcPr>
            <w:tcW w:w="788" w:type="dxa"/>
            <w:vAlign w:val="center"/>
          </w:tcPr>
          <w:p>
            <w:pPr>
              <w:widowControl/>
              <w:spacing w:line="276" w:lineRule="auto"/>
              <w:jc w:val="center"/>
              <w:rPr>
                <w:kern w:val="0"/>
                <w:sz w:val="24"/>
              </w:rPr>
            </w:pPr>
            <w:r>
              <w:rPr>
                <w:rFonts w:hint="eastAsia" w:hAnsi="宋体"/>
                <w:kern w:val="0"/>
                <w:sz w:val="24"/>
              </w:rPr>
              <w:t>Ⅲ</w:t>
            </w:r>
          </w:p>
        </w:tc>
        <w:tc>
          <w:tcPr>
            <w:tcW w:w="787" w:type="dxa"/>
            <w:vAlign w:val="center"/>
          </w:tcPr>
          <w:p>
            <w:pPr>
              <w:widowControl/>
              <w:spacing w:line="276" w:lineRule="auto"/>
              <w:jc w:val="center"/>
              <w:rPr>
                <w:kern w:val="0"/>
                <w:sz w:val="24"/>
              </w:rPr>
            </w:pPr>
            <w:r>
              <w:rPr>
                <w:rFonts w:hint="eastAsia" w:hAnsi="宋体"/>
                <w:kern w:val="0"/>
                <w:sz w:val="24"/>
              </w:rPr>
              <w:t>Ⅳ</w:t>
            </w:r>
          </w:p>
        </w:tc>
        <w:tc>
          <w:tcPr>
            <w:tcW w:w="788" w:type="dxa"/>
            <w:vAlign w:val="center"/>
          </w:tcPr>
          <w:p>
            <w:pPr>
              <w:widowControl/>
              <w:spacing w:line="276" w:lineRule="auto"/>
              <w:jc w:val="center"/>
              <w:rPr>
                <w:kern w:val="0"/>
                <w:sz w:val="24"/>
              </w:rPr>
            </w:pPr>
            <w:r>
              <w:rPr>
                <w:rFonts w:hint="eastAsia" w:hAnsi="宋体"/>
                <w:kern w:val="0"/>
                <w:sz w:val="24"/>
              </w:rPr>
              <w:t>Ⅴ</w:t>
            </w:r>
          </w:p>
        </w:tc>
        <w:tc>
          <w:tcPr>
            <w:tcW w:w="787" w:type="dxa"/>
            <w:vAlign w:val="center"/>
          </w:tcPr>
          <w:p>
            <w:pPr>
              <w:widowControl/>
              <w:spacing w:line="276" w:lineRule="auto"/>
              <w:jc w:val="center"/>
              <w:rPr>
                <w:kern w:val="0"/>
                <w:sz w:val="24"/>
              </w:rPr>
            </w:pPr>
            <w:r>
              <w:rPr>
                <w:rFonts w:hint="eastAsia" w:hAnsi="宋体"/>
                <w:kern w:val="0"/>
                <w:sz w:val="24"/>
              </w:rPr>
              <w:t>Ⅵ</w:t>
            </w:r>
          </w:p>
        </w:tc>
        <w:tc>
          <w:tcPr>
            <w:tcW w:w="788" w:type="dxa"/>
            <w:vAlign w:val="center"/>
          </w:tcPr>
          <w:p>
            <w:pPr>
              <w:widowControl/>
              <w:spacing w:line="276" w:lineRule="auto"/>
              <w:jc w:val="center"/>
              <w:rPr>
                <w:kern w:val="0"/>
                <w:sz w:val="24"/>
              </w:rPr>
            </w:pPr>
            <w:r>
              <w:rPr>
                <w:rFonts w:hint="eastAsia" w:hAnsi="宋体"/>
                <w:kern w:val="0"/>
                <w:sz w:val="24"/>
              </w:rPr>
              <w:t>Ⅶ</w:t>
            </w:r>
          </w:p>
        </w:tc>
        <w:tc>
          <w:tcPr>
            <w:tcW w:w="788" w:type="dxa"/>
            <w:vAlign w:val="center"/>
          </w:tcPr>
          <w:p>
            <w:pPr>
              <w:widowControl/>
              <w:spacing w:line="276" w:lineRule="auto"/>
              <w:jc w:val="center"/>
              <w:rPr>
                <w:kern w:val="0"/>
                <w:sz w:val="24"/>
              </w:rPr>
            </w:pPr>
            <w:r>
              <w:rPr>
                <w:rFonts w:hint="eastAsia" w:hAnsi="宋体"/>
                <w:kern w:val="0"/>
                <w:sz w:val="24"/>
              </w:rPr>
              <w:t>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spacing w:line="276" w:lineRule="auto"/>
              <w:jc w:val="center"/>
              <w:rPr>
                <w:sz w:val="24"/>
              </w:rPr>
            </w:pPr>
            <w:r>
              <w:rPr>
                <w:rFonts w:hint="eastAsia"/>
                <w:sz w:val="24"/>
              </w:rPr>
              <w:t>速比</w:t>
            </w:r>
          </w:p>
        </w:tc>
        <w:tc>
          <w:tcPr>
            <w:tcW w:w="788" w:type="dxa"/>
            <w:vAlign w:val="center"/>
          </w:tcPr>
          <w:p>
            <w:pPr>
              <w:spacing w:line="276" w:lineRule="auto"/>
              <w:jc w:val="center"/>
              <w:rPr>
                <w:sz w:val="24"/>
              </w:rPr>
            </w:pPr>
            <w:r>
              <w:rPr>
                <w:sz w:val="24"/>
              </w:rPr>
              <w:t>3.75</w:t>
            </w:r>
          </w:p>
        </w:tc>
        <w:tc>
          <w:tcPr>
            <w:tcW w:w="787" w:type="dxa"/>
            <w:vAlign w:val="center"/>
          </w:tcPr>
          <w:p>
            <w:pPr>
              <w:spacing w:line="276" w:lineRule="auto"/>
              <w:jc w:val="center"/>
              <w:rPr>
                <w:sz w:val="24"/>
              </w:rPr>
            </w:pPr>
            <w:r>
              <w:rPr>
                <w:sz w:val="24"/>
              </w:rPr>
              <w:t>2.69</w:t>
            </w:r>
          </w:p>
        </w:tc>
        <w:tc>
          <w:tcPr>
            <w:tcW w:w="788" w:type="dxa"/>
            <w:vAlign w:val="center"/>
          </w:tcPr>
          <w:p>
            <w:pPr>
              <w:spacing w:line="276" w:lineRule="auto"/>
              <w:jc w:val="center"/>
              <w:rPr>
                <w:sz w:val="24"/>
              </w:rPr>
            </w:pPr>
            <w:r>
              <w:rPr>
                <w:sz w:val="24"/>
              </w:rPr>
              <w:t>2.20</w:t>
            </w:r>
          </w:p>
        </w:tc>
        <w:tc>
          <w:tcPr>
            <w:tcW w:w="787" w:type="dxa"/>
            <w:vAlign w:val="center"/>
          </w:tcPr>
          <w:p>
            <w:pPr>
              <w:spacing w:line="276" w:lineRule="auto"/>
              <w:jc w:val="center"/>
              <w:rPr>
                <w:sz w:val="24"/>
              </w:rPr>
            </w:pPr>
            <w:r>
              <w:rPr>
                <w:sz w:val="24"/>
              </w:rPr>
              <w:t>1.77</w:t>
            </w:r>
          </w:p>
        </w:tc>
        <w:tc>
          <w:tcPr>
            <w:tcW w:w="788" w:type="dxa"/>
            <w:vAlign w:val="center"/>
          </w:tcPr>
          <w:p>
            <w:pPr>
              <w:spacing w:line="276" w:lineRule="auto"/>
              <w:jc w:val="center"/>
              <w:rPr>
                <w:sz w:val="24"/>
              </w:rPr>
            </w:pPr>
            <w:r>
              <w:rPr>
                <w:sz w:val="24"/>
              </w:rPr>
              <w:t>1.58</w:t>
            </w:r>
          </w:p>
        </w:tc>
        <w:tc>
          <w:tcPr>
            <w:tcW w:w="787" w:type="dxa"/>
            <w:vAlign w:val="center"/>
          </w:tcPr>
          <w:p>
            <w:pPr>
              <w:spacing w:line="276" w:lineRule="auto"/>
              <w:jc w:val="center"/>
              <w:rPr>
                <w:sz w:val="24"/>
              </w:rPr>
            </w:pPr>
            <w:r>
              <w:rPr>
                <w:sz w:val="24"/>
              </w:rPr>
              <w:t>1.27</w:t>
            </w:r>
          </w:p>
        </w:tc>
        <w:tc>
          <w:tcPr>
            <w:tcW w:w="788" w:type="dxa"/>
            <w:vAlign w:val="center"/>
          </w:tcPr>
          <w:p>
            <w:pPr>
              <w:spacing w:line="276" w:lineRule="auto"/>
              <w:jc w:val="center"/>
              <w:rPr>
                <w:sz w:val="24"/>
              </w:rPr>
            </w:pPr>
            <w:r>
              <w:rPr>
                <w:sz w:val="24"/>
              </w:rPr>
              <w:t>1.00</w:t>
            </w:r>
          </w:p>
        </w:tc>
        <w:tc>
          <w:tcPr>
            <w:tcW w:w="788" w:type="dxa"/>
            <w:vAlign w:val="center"/>
          </w:tcPr>
          <w:p>
            <w:pPr>
              <w:spacing w:line="276" w:lineRule="auto"/>
              <w:jc w:val="center"/>
              <w:rPr>
                <w:sz w:val="24"/>
              </w:rPr>
            </w:pPr>
            <w:r>
              <w:rPr>
                <w:sz w:val="24"/>
              </w:rPr>
              <w:t>0.72</w:t>
            </w:r>
          </w:p>
        </w:tc>
      </w:tr>
    </w:tbl>
    <w:p>
      <w:pPr>
        <w:spacing w:line="360" w:lineRule="auto"/>
        <w:ind w:left="420" w:leftChars="200"/>
        <w:rPr>
          <w:sz w:val="24"/>
        </w:rPr>
      </w:pPr>
      <w:r>
        <w:rPr>
          <w:sz w:val="24"/>
        </w:rPr>
        <w:t>4</w:t>
      </w:r>
      <w:r>
        <w:rPr>
          <w:rFonts w:hint="eastAsia"/>
          <w:sz w:val="24"/>
        </w:rPr>
        <w:t>、主压泵（自制件）</w:t>
      </w:r>
    </w:p>
    <w:p>
      <w:pPr>
        <w:spacing w:line="360" w:lineRule="auto"/>
        <w:ind w:left="420" w:leftChars="200" w:firstLine="360" w:firstLineChars="150"/>
        <w:rPr>
          <w:sz w:val="24"/>
        </w:rPr>
      </w:pPr>
      <w:r>
        <w:rPr>
          <w:rFonts w:hint="eastAsia"/>
          <w:sz w:val="24"/>
        </w:rPr>
        <w:t>型号：</w:t>
      </w:r>
      <w:r>
        <w:rPr>
          <w:sz w:val="24"/>
        </w:rPr>
        <w:t>WYB 3</w:t>
      </w:r>
      <w:r>
        <w:rPr>
          <w:rFonts w:hint="eastAsia"/>
          <w:sz w:val="24"/>
        </w:rPr>
        <w:t>0</w:t>
      </w:r>
      <w:r>
        <w:rPr>
          <w:sz w:val="24"/>
        </w:rPr>
        <w:t>00/140</w:t>
      </w:r>
      <w:r>
        <w:rPr>
          <w:rFonts w:hint="eastAsia"/>
          <w:sz w:val="24"/>
        </w:rPr>
        <w:t>（五缸单作用柱塞泵）</w:t>
      </w:r>
    </w:p>
    <w:p>
      <w:pPr>
        <w:spacing w:line="360" w:lineRule="auto"/>
        <w:ind w:left="420" w:leftChars="200" w:firstLine="360" w:firstLineChars="150"/>
        <w:rPr>
          <w:sz w:val="24"/>
        </w:rPr>
      </w:pPr>
      <w:r>
        <w:rPr>
          <w:rFonts w:hint="eastAsia"/>
          <w:sz w:val="24"/>
        </w:rPr>
        <w:t>柱塞直径：</w:t>
      </w:r>
      <w:r>
        <w:rPr>
          <w:sz w:val="24"/>
        </w:rPr>
        <w:t>Φ100mm</w:t>
      </w:r>
      <w:r>
        <w:rPr>
          <w:rFonts w:hint="eastAsia"/>
          <w:sz w:val="24"/>
        </w:rPr>
        <w:t>、</w:t>
      </w:r>
      <w:r>
        <w:rPr>
          <w:sz w:val="24"/>
        </w:rPr>
        <w:t>Φ115mm</w:t>
      </w:r>
      <w:r>
        <w:rPr>
          <w:rFonts w:hint="eastAsia"/>
          <w:sz w:val="24"/>
        </w:rPr>
        <w:t>（任选一种）</w:t>
      </w:r>
    </w:p>
    <w:p>
      <w:pPr>
        <w:spacing w:line="360" w:lineRule="auto"/>
        <w:ind w:left="420" w:leftChars="200" w:firstLine="360" w:firstLineChars="150"/>
        <w:rPr>
          <w:sz w:val="24"/>
        </w:rPr>
      </w:pPr>
      <w:r>
        <w:rPr>
          <w:rFonts w:hint="eastAsia"/>
          <w:sz w:val="24"/>
        </w:rPr>
        <w:t>冲程：</w:t>
      </w:r>
      <w:r>
        <w:rPr>
          <w:sz w:val="24"/>
        </w:rPr>
        <w:t>203.2mm</w:t>
      </w:r>
    </w:p>
    <w:p>
      <w:pPr>
        <w:spacing w:line="360" w:lineRule="auto"/>
        <w:ind w:left="420" w:leftChars="200" w:firstLine="360" w:firstLineChars="150"/>
        <w:rPr>
          <w:sz w:val="24"/>
        </w:rPr>
      </w:pPr>
      <w:r>
        <w:rPr>
          <w:rFonts w:hint="eastAsia"/>
          <w:sz w:val="24"/>
        </w:rPr>
        <w:t>水功率：</w:t>
      </w:r>
      <w:r>
        <w:rPr>
          <w:sz w:val="24"/>
        </w:rPr>
        <w:t>3100HP</w:t>
      </w:r>
    </w:p>
    <w:p>
      <w:pPr>
        <w:spacing w:line="360" w:lineRule="auto"/>
        <w:ind w:left="420" w:leftChars="200" w:firstLine="360" w:firstLineChars="150"/>
        <w:rPr>
          <w:sz w:val="24"/>
        </w:rPr>
      </w:pPr>
      <w:r>
        <w:rPr>
          <w:rFonts w:hint="eastAsia"/>
          <w:sz w:val="24"/>
        </w:rPr>
        <w:t>泵内减速比：</w:t>
      </w:r>
      <w:r>
        <w:rPr>
          <w:sz w:val="24"/>
        </w:rPr>
        <w:t>6.05882</w:t>
      </w:r>
    </w:p>
    <w:p>
      <w:pPr>
        <w:spacing w:line="360" w:lineRule="auto"/>
        <w:ind w:left="420" w:leftChars="200" w:firstLine="360" w:firstLineChars="150"/>
        <w:rPr>
          <w:sz w:val="24"/>
        </w:rPr>
      </w:pPr>
      <w:r>
        <w:rPr>
          <w:rFonts w:hint="eastAsia"/>
          <w:sz w:val="24"/>
        </w:rPr>
        <w:t>主压泵是由液力端和动力端及润滑系统等组成。</w:t>
      </w:r>
    </w:p>
    <w:p>
      <w:pPr>
        <w:spacing w:line="360" w:lineRule="auto"/>
        <w:ind w:left="420" w:leftChars="200" w:firstLine="360" w:firstLineChars="150"/>
        <w:rPr>
          <w:sz w:val="24"/>
        </w:rPr>
      </w:pPr>
      <w:r>
        <w:rPr>
          <w:rFonts w:hint="eastAsia"/>
          <w:sz w:val="24"/>
        </w:rPr>
        <w:t>液力端是由阀箱、阀座、阀体、阀胶皮、阀弹簧、柱塞、柱塞密封、压盖等组成。</w:t>
      </w:r>
    </w:p>
    <w:p>
      <w:pPr>
        <w:spacing w:line="360" w:lineRule="auto"/>
        <w:ind w:left="420" w:leftChars="200" w:firstLine="360" w:firstLineChars="150"/>
        <w:rPr>
          <w:sz w:val="24"/>
        </w:rPr>
      </w:pPr>
      <w:r>
        <w:rPr>
          <w:rFonts w:hint="eastAsia"/>
          <w:sz w:val="24"/>
        </w:rPr>
        <w:t>动力端是由泵体、主动轴、曲轴、连杆、连杆瓦、十字头、十字头横销、导板（铜套）、大齿轮等组成。</w:t>
      </w:r>
    </w:p>
    <w:p>
      <w:pPr>
        <w:spacing w:line="360" w:lineRule="auto"/>
        <w:ind w:left="420" w:leftChars="200"/>
        <w:rPr>
          <w:sz w:val="24"/>
        </w:rPr>
      </w:pPr>
      <w:r>
        <w:rPr>
          <w:sz w:val="24"/>
        </w:rPr>
        <w:t>5</w:t>
      </w:r>
      <w:r>
        <w:rPr>
          <w:rFonts w:hint="eastAsia"/>
          <w:sz w:val="24"/>
        </w:rPr>
        <w:t>、控制系统：采用网络集中控制模式</w:t>
      </w:r>
    </w:p>
    <w:p>
      <w:pPr>
        <w:spacing w:line="360" w:lineRule="auto"/>
        <w:ind w:left="420" w:leftChars="200"/>
        <w:rPr>
          <w:sz w:val="24"/>
        </w:rPr>
      </w:pPr>
      <w:r>
        <w:rPr>
          <w:sz w:val="24"/>
        </w:rPr>
        <w:t>6</w:t>
      </w:r>
      <w:r>
        <w:rPr>
          <w:rFonts w:hint="eastAsia"/>
          <w:sz w:val="24"/>
        </w:rPr>
        <w:t>、润滑系统</w:t>
      </w:r>
    </w:p>
    <w:p>
      <w:pPr>
        <w:spacing w:line="360" w:lineRule="auto"/>
        <w:ind w:left="420" w:leftChars="200" w:firstLine="360" w:firstLineChars="150"/>
        <w:rPr>
          <w:sz w:val="24"/>
        </w:rPr>
      </w:pPr>
      <w:r>
        <w:rPr>
          <w:rFonts w:hint="eastAsia"/>
          <w:sz w:val="24"/>
        </w:rPr>
        <w:t>可分为主压泵动力端润滑和柱塞润滑两个润滑系统。</w:t>
      </w:r>
    </w:p>
    <w:p>
      <w:pPr>
        <w:spacing w:line="360" w:lineRule="auto"/>
        <w:ind w:left="420" w:leftChars="200" w:firstLine="360" w:firstLineChars="150"/>
        <w:rPr>
          <w:sz w:val="24"/>
        </w:rPr>
      </w:pPr>
      <w:r>
        <w:rPr>
          <w:rFonts w:hint="eastAsia"/>
          <w:sz w:val="24"/>
        </w:rPr>
        <w:t>主压泵动力润滑由齿轮泵、溢流阀、滤油器、油压表等部件组成的，通过强迫和飞溅润滑方式对动力端所有的运动副进行润滑。</w:t>
      </w:r>
    </w:p>
    <w:p>
      <w:pPr>
        <w:spacing w:line="360" w:lineRule="auto"/>
        <w:ind w:left="420" w:leftChars="200" w:firstLine="360" w:firstLineChars="150"/>
        <w:rPr>
          <w:sz w:val="24"/>
        </w:rPr>
      </w:pPr>
      <w:r>
        <w:rPr>
          <w:rFonts w:hint="eastAsia"/>
          <w:sz w:val="24"/>
        </w:rPr>
        <w:t>柱塞润滑由隔膜泵和油箱组成的，通隔膜泵对柱塞及柱塞密封件进行强制润滑。部分回收的废油可继续利用。</w:t>
      </w:r>
    </w:p>
    <w:p>
      <w:pPr>
        <w:spacing w:line="360" w:lineRule="auto"/>
        <w:ind w:left="420" w:leftChars="200"/>
        <w:rPr>
          <w:sz w:val="24"/>
        </w:rPr>
      </w:pPr>
      <w:r>
        <w:rPr>
          <w:sz w:val="24"/>
        </w:rPr>
        <w:t>7</w:t>
      </w:r>
      <w:r>
        <w:rPr>
          <w:rFonts w:hint="eastAsia"/>
          <w:sz w:val="24"/>
        </w:rPr>
        <w:t>、冷却系统</w:t>
      </w:r>
    </w:p>
    <w:p>
      <w:pPr>
        <w:spacing w:line="360" w:lineRule="auto"/>
        <w:ind w:left="420" w:leftChars="200" w:firstLine="360" w:firstLineChars="150"/>
        <w:rPr>
          <w:sz w:val="24"/>
        </w:rPr>
      </w:pPr>
      <w:r>
        <w:rPr>
          <w:rFonts w:hint="eastAsia"/>
          <w:sz w:val="24"/>
        </w:rPr>
        <w:t>冷却系统由散热器对主压泵润滑油与变速器液力传动油及燃油分别进行冷却，散热器放置台上柴油机的散热器的上端。</w:t>
      </w:r>
    </w:p>
    <w:p>
      <w:pPr>
        <w:spacing w:line="360" w:lineRule="auto"/>
        <w:ind w:left="420" w:leftChars="200"/>
        <w:rPr>
          <w:sz w:val="24"/>
        </w:rPr>
      </w:pPr>
      <w:r>
        <w:rPr>
          <w:sz w:val="24"/>
        </w:rPr>
        <w:t>8</w:t>
      </w:r>
      <w:r>
        <w:rPr>
          <w:rFonts w:hint="eastAsia"/>
          <w:sz w:val="24"/>
        </w:rPr>
        <w:t>、吸入管系</w:t>
      </w:r>
    </w:p>
    <w:p>
      <w:pPr>
        <w:spacing w:line="360" w:lineRule="auto"/>
        <w:ind w:left="420" w:leftChars="200" w:firstLine="360" w:firstLineChars="150"/>
        <w:rPr>
          <w:sz w:val="24"/>
        </w:rPr>
      </w:pPr>
      <w:r>
        <w:rPr>
          <w:rFonts w:hint="eastAsia"/>
          <w:sz w:val="24"/>
        </w:rPr>
        <w:t>吸入口</w:t>
      </w:r>
      <w:r>
        <w:rPr>
          <w:sz w:val="24"/>
        </w:rPr>
        <w:t>4"</w:t>
      </w:r>
      <w:r>
        <w:rPr>
          <w:rFonts w:hint="eastAsia"/>
          <w:sz w:val="24"/>
        </w:rPr>
        <w:t>双吸入口，布置在车的后端。</w:t>
      </w:r>
    </w:p>
    <w:p>
      <w:pPr>
        <w:spacing w:line="360" w:lineRule="auto"/>
        <w:ind w:left="420" w:leftChars="200"/>
        <w:rPr>
          <w:sz w:val="24"/>
        </w:rPr>
      </w:pPr>
      <w:r>
        <w:rPr>
          <w:sz w:val="24"/>
        </w:rPr>
        <w:t>9</w:t>
      </w:r>
      <w:r>
        <w:rPr>
          <w:rFonts w:hint="eastAsia"/>
          <w:sz w:val="24"/>
        </w:rPr>
        <w:t>、排出管系</w:t>
      </w:r>
    </w:p>
    <w:p>
      <w:pPr>
        <w:spacing w:line="360" w:lineRule="auto"/>
        <w:ind w:left="420" w:leftChars="200" w:firstLine="360" w:firstLineChars="150"/>
        <w:rPr>
          <w:sz w:val="24"/>
        </w:rPr>
      </w:pPr>
      <w:r>
        <w:rPr>
          <w:rFonts w:hint="eastAsia"/>
          <w:sz w:val="24"/>
        </w:rPr>
        <w:t>排出管径为3</w:t>
      </w:r>
      <w:r>
        <w:rPr>
          <w:sz w:val="24"/>
        </w:rPr>
        <w:t>"</w:t>
      </w:r>
      <w:r>
        <w:rPr>
          <w:rFonts w:hint="eastAsia"/>
          <w:sz w:val="24"/>
        </w:rPr>
        <w:t>，耐压</w:t>
      </w:r>
      <w:r>
        <w:rPr>
          <w:sz w:val="24"/>
        </w:rPr>
        <w:t>140MPa</w:t>
      </w:r>
      <w:r>
        <w:rPr>
          <w:rFonts w:hint="eastAsia"/>
          <w:sz w:val="24"/>
        </w:rPr>
        <w:t>。是由抗震压力表、安全阀、压力传感器以及直管、弯头、快速接头组成，布置在车的后端。</w:t>
      </w:r>
    </w:p>
    <w:p>
      <w:pPr>
        <w:spacing w:line="360" w:lineRule="auto"/>
        <w:ind w:firstLine="480" w:firstLineChars="200"/>
        <w:rPr>
          <w:sz w:val="24"/>
        </w:rPr>
      </w:pPr>
      <w:r>
        <w:rPr>
          <w:sz w:val="24"/>
        </w:rPr>
        <w:t>10</w:t>
      </w:r>
      <w:r>
        <w:rPr>
          <w:rFonts w:hint="eastAsia"/>
          <w:sz w:val="24"/>
        </w:rPr>
        <w:t>、其它</w:t>
      </w:r>
    </w:p>
    <w:p>
      <w:pPr>
        <w:spacing w:line="360" w:lineRule="auto"/>
        <w:ind w:firstLine="480" w:firstLineChars="200"/>
        <w:rPr>
          <w:sz w:val="24"/>
        </w:rPr>
      </w:pPr>
      <w:r>
        <w:rPr>
          <w:rFonts w:hint="eastAsia"/>
          <w:sz w:val="24"/>
        </w:rPr>
        <w:t>⑴、带</w:t>
      </w:r>
      <w:r>
        <w:rPr>
          <w:sz w:val="24"/>
        </w:rPr>
        <w:t>4"×6m</w:t>
      </w:r>
      <w:r>
        <w:rPr>
          <w:rFonts w:hint="eastAsia"/>
          <w:sz w:val="24"/>
        </w:rPr>
        <w:t>吸入软管</w:t>
      </w:r>
      <w:r>
        <w:rPr>
          <w:sz w:val="24"/>
        </w:rPr>
        <w:t>2</w:t>
      </w:r>
      <w:r>
        <w:rPr>
          <w:rFonts w:hint="eastAsia"/>
          <w:sz w:val="24"/>
        </w:rPr>
        <w:t>根。两边均为凸头。耐压</w:t>
      </w:r>
      <w:r>
        <w:rPr>
          <w:sz w:val="24"/>
        </w:rPr>
        <w:t>2MPa</w:t>
      </w:r>
      <w:r>
        <w:rPr>
          <w:rFonts w:hint="eastAsia"/>
          <w:sz w:val="24"/>
        </w:rPr>
        <w:t>。</w:t>
      </w:r>
    </w:p>
    <w:p>
      <w:pPr>
        <w:spacing w:line="360" w:lineRule="auto"/>
        <w:ind w:firstLine="480" w:firstLineChars="200"/>
        <w:rPr>
          <w:sz w:val="24"/>
        </w:rPr>
      </w:pPr>
      <w:r>
        <w:rPr>
          <w:rFonts w:hint="eastAsia"/>
          <w:sz w:val="24"/>
        </w:rPr>
        <w:t>⑵、带高压直管3</w:t>
      </w:r>
      <w:r>
        <w:rPr>
          <w:sz w:val="24"/>
        </w:rPr>
        <w:t>"×2.5m×3</w:t>
      </w:r>
      <w:r>
        <w:rPr>
          <w:rFonts w:hint="eastAsia"/>
          <w:sz w:val="24"/>
        </w:rPr>
        <w:t>根、3</w:t>
      </w:r>
      <w:r>
        <w:rPr>
          <w:sz w:val="24"/>
        </w:rPr>
        <w:t>"×1.5m×3</w:t>
      </w:r>
      <w:r>
        <w:rPr>
          <w:rFonts w:hint="eastAsia"/>
          <w:sz w:val="24"/>
        </w:rPr>
        <w:t>根。耐压</w:t>
      </w:r>
      <w:r>
        <w:rPr>
          <w:sz w:val="24"/>
        </w:rPr>
        <w:t>140MPa</w:t>
      </w:r>
      <w:r>
        <w:rPr>
          <w:rFonts w:hint="eastAsia"/>
          <w:sz w:val="24"/>
        </w:rPr>
        <w:t>。</w:t>
      </w:r>
    </w:p>
    <w:p>
      <w:pPr>
        <w:spacing w:line="360" w:lineRule="auto"/>
        <w:ind w:firstLine="480" w:firstLineChars="200"/>
        <w:rPr>
          <w:sz w:val="24"/>
        </w:rPr>
      </w:pPr>
      <w:r>
        <w:rPr>
          <w:rFonts w:hint="eastAsia"/>
          <w:sz w:val="24"/>
        </w:rPr>
        <w:t>⑶、带3</w:t>
      </w:r>
      <w:r>
        <w:rPr>
          <w:sz w:val="24"/>
        </w:rPr>
        <w:t>"</w:t>
      </w:r>
      <w:r>
        <w:rPr>
          <w:rFonts w:hint="eastAsia"/>
          <w:sz w:val="24"/>
        </w:rPr>
        <w:t>高压活动弯头，</w:t>
      </w:r>
      <w:r>
        <w:rPr>
          <w:sz w:val="24"/>
        </w:rPr>
        <w:t>2</w:t>
      </w:r>
      <w:r>
        <w:rPr>
          <w:rFonts w:hint="eastAsia"/>
          <w:sz w:val="24"/>
        </w:rPr>
        <w:t>弯</w:t>
      </w:r>
      <w:r>
        <w:rPr>
          <w:sz w:val="24"/>
        </w:rPr>
        <w:t>2</w:t>
      </w:r>
      <w:r>
        <w:rPr>
          <w:rFonts w:hint="eastAsia"/>
          <w:sz w:val="24"/>
        </w:rPr>
        <w:t>件，</w:t>
      </w:r>
      <w:r>
        <w:rPr>
          <w:sz w:val="24"/>
        </w:rPr>
        <w:t>3</w:t>
      </w:r>
      <w:r>
        <w:rPr>
          <w:rFonts w:hint="eastAsia"/>
          <w:sz w:val="24"/>
        </w:rPr>
        <w:t>弯</w:t>
      </w:r>
      <w:r>
        <w:rPr>
          <w:sz w:val="24"/>
        </w:rPr>
        <w:t>2</w:t>
      </w:r>
      <w:r>
        <w:rPr>
          <w:rFonts w:hint="eastAsia"/>
          <w:sz w:val="24"/>
        </w:rPr>
        <w:t>件。耐压</w:t>
      </w:r>
      <w:r>
        <w:rPr>
          <w:sz w:val="24"/>
        </w:rPr>
        <w:t>140MPa</w:t>
      </w:r>
      <w:r>
        <w:rPr>
          <w:rFonts w:hint="eastAsia"/>
          <w:sz w:val="24"/>
        </w:rPr>
        <w:t>。</w:t>
      </w:r>
    </w:p>
    <w:p>
      <w:pPr>
        <w:spacing w:line="360" w:lineRule="auto"/>
        <w:ind w:firstLine="480" w:firstLineChars="200"/>
        <w:rPr>
          <w:sz w:val="24"/>
        </w:rPr>
      </w:pPr>
      <w:r>
        <w:rPr>
          <w:rFonts w:hint="eastAsia"/>
          <w:sz w:val="24"/>
        </w:rPr>
        <w:t>⑷、带高压三通</w:t>
      </w:r>
      <w:r>
        <w:rPr>
          <w:sz w:val="24"/>
        </w:rPr>
        <w:t>1</w:t>
      </w:r>
      <w:r>
        <w:rPr>
          <w:rFonts w:hint="eastAsia"/>
          <w:sz w:val="24"/>
        </w:rPr>
        <w:t>件。耐压</w:t>
      </w:r>
      <w:r>
        <w:rPr>
          <w:sz w:val="24"/>
        </w:rPr>
        <w:t>140MPa</w:t>
      </w:r>
      <w:r>
        <w:rPr>
          <w:rFonts w:hint="eastAsia"/>
          <w:sz w:val="24"/>
        </w:rPr>
        <w:t>。</w:t>
      </w:r>
    </w:p>
    <w:p>
      <w:pPr>
        <w:spacing w:line="360" w:lineRule="auto"/>
        <w:ind w:firstLine="480" w:firstLineChars="200"/>
        <w:rPr>
          <w:sz w:val="24"/>
        </w:rPr>
      </w:pPr>
      <w:r>
        <w:rPr>
          <w:rFonts w:hint="eastAsia"/>
          <w:sz w:val="24"/>
        </w:rPr>
        <w:t>⑸、带入井短管（</w:t>
      </w:r>
      <w:r>
        <w:rPr>
          <w:sz w:val="24"/>
        </w:rPr>
        <w:t>3"+</w:t>
      </w:r>
      <w:r>
        <w:rPr>
          <w:rFonts w:hint="eastAsia"/>
          <w:sz w:val="24"/>
        </w:rPr>
        <w:t>凸头）</w:t>
      </w:r>
      <w:r>
        <w:rPr>
          <w:sz w:val="24"/>
        </w:rPr>
        <w:t>1</w:t>
      </w:r>
      <w:r>
        <w:rPr>
          <w:rFonts w:hint="eastAsia"/>
          <w:sz w:val="24"/>
        </w:rPr>
        <w:t>件。耐压</w:t>
      </w:r>
      <w:r>
        <w:rPr>
          <w:sz w:val="24"/>
        </w:rPr>
        <w:t>140MPa</w:t>
      </w:r>
      <w:r>
        <w:rPr>
          <w:rFonts w:hint="eastAsia"/>
          <w:sz w:val="24"/>
        </w:rPr>
        <w:t>。</w:t>
      </w:r>
    </w:p>
    <w:p>
      <w:pPr>
        <w:spacing w:line="360" w:lineRule="auto"/>
        <w:ind w:firstLine="480" w:firstLineChars="200"/>
        <w:rPr>
          <w:sz w:val="24"/>
        </w:rPr>
      </w:pPr>
      <w:r>
        <w:rPr>
          <w:rFonts w:hint="eastAsia"/>
          <w:sz w:val="24"/>
        </w:rPr>
        <w:t>注：以上高压件的连接扣型为</w:t>
      </w:r>
      <w:r>
        <w:rPr>
          <w:sz w:val="24"/>
        </w:rPr>
        <w:t>1502</w:t>
      </w:r>
      <w:r>
        <w:rPr>
          <w:rFonts w:hint="eastAsia"/>
          <w:sz w:val="24"/>
        </w:rPr>
        <w:t>扣。</w:t>
      </w:r>
    </w:p>
    <w:p>
      <w:pPr>
        <w:spacing w:line="360" w:lineRule="auto"/>
        <w:ind w:firstLine="480" w:firstLineChars="200"/>
        <w:rPr>
          <w:sz w:val="24"/>
        </w:rPr>
      </w:pPr>
      <w:r>
        <w:rPr>
          <w:rFonts w:hint="eastAsia"/>
          <w:sz w:val="24"/>
        </w:rPr>
        <w:t>⑹、带夜间照明灯，便于夜间施工。</w:t>
      </w:r>
    </w:p>
    <w:p>
      <w:pPr>
        <w:spacing w:line="360" w:lineRule="auto"/>
        <w:ind w:firstLine="480" w:firstLineChars="200"/>
        <w:rPr>
          <w:sz w:val="24"/>
        </w:rPr>
      </w:pPr>
      <w:r>
        <w:rPr>
          <w:rFonts w:hint="eastAsia"/>
          <w:sz w:val="24"/>
        </w:rPr>
        <w:t>⑺、带</w:t>
      </w:r>
      <w:r>
        <w:rPr>
          <w:sz w:val="24"/>
        </w:rPr>
        <w:t>8</w:t>
      </w:r>
      <w:r>
        <w:rPr>
          <w:rFonts w:hint="eastAsia"/>
          <w:sz w:val="24"/>
        </w:rPr>
        <w:t>磅灭火器</w:t>
      </w:r>
      <w:r>
        <w:rPr>
          <w:sz w:val="24"/>
        </w:rPr>
        <w:t>2</w:t>
      </w:r>
      <w:r>
        <w:rPr>
          <w:rFonts w:hint="eastAsia"/>
          <w:sz w:val="24"/>
        </w:rPr>
        <w:t>件，安装在车的侧面。</w:t>
      </w:r>
    </w:p>
    <w:p>
      <w:r>
        <w:rPr>
          <w:rFonts w:hint="eastAsia"/>
          <w:sz w:val="24"/>
        </w:rPr>
        <w:t>⑻、要求所有结构件的焊缝需打磨，平整光滑。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长城黑体">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A41A6"/>
    <w:multiLevelType w:val="singleLevel"/>
    <w:tmpl w:val="467A41A6"/>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8AE"/>
    <w:rsid w:val="00384B0D"/>
    <w:rsid w:val="00804C7E"/>
    <w:rsid w:val="00B868AE"/>
    <w:rsid w:val="166E6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177</Words>
  <Characters>1014</Characters>
  <Lines>8</Lines>
  <Paragraphs>2</Paragraphs>
  <TotalTime>0</TotalTime>
  <ScaleCrop>false</ScaleCrop>
  <LinksUpToDate>false</LinksUpToDate>
  <CharactersWithSpaces>1189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2019-10-09T00:30:00Z</dcterms:created>
  <dc:creator>Admin</dc:creator>
  <cp:lastModifiedBy>王涛18919158413</cp:lastModifiedBy>
  <dcterms:modified xsi:type="dcterms:W3CDTF">2019-10-23T03:32:57Z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